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214C05BB" w:rsidR="00FB0EB8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58393E">
        <w:rPr>
          <w:noProof/>
        </w:rPr>
        <w:drawing>
          <wp:inline distT="0" distB="0" distL="0" distR="0" wp14:anchorId="7C849FE9" wp14:editId="43F61CF1">
            <wp:extent cx="4724400" cy="7975600"/>
            <wp:effectExtent l="0" t="0" r="0" b="6350"/>
            <wp:docPr id="32" name="图形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DA5511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53C11D8B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36C49CBD" w14:textId="77777777" w:rsidR="0058393E" w:rsidRDefault="0058393E">
      <w:pPr>
        <w:jc w:val="center"/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</w:pPr>
    </w:p>
    <w:p w14:paraId="66D4776F" w14:textId="77777777" w:rsidR="00185288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</w:p>
    <w:p w14:paraId="526B226B" w14:textId="5E4060F5" w:rsidR="00FB0EB8" w:rsidRDefault="0008793D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507D7140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</w:t>
      </w:r>
      <w:r w:rsidR="00185288">
        <w:rPr>
          <w:rFonts w:ascii="微软雅黑" w:eastAsia="微软雅黑" w:hAnsi="微软雅黑" w:cs="微软雅黑" w:hint="eastAsia"/>
          <w:b/>
          <w:bCs/>
          <w:sz w:val="48"/>
          <w:szCs w:val="48"/>
        </w:rPr>
        <w:t>西医结合内科学</w:t>
      </w:r>
      <w:r w:rsidR="0000331D">
        <w:rPr>
          <w:rFonts w:ascii="微软雅黑" w:eastAsia="微软雅黑" w:hAnsi="微软雅黑" w:cs="微软雅黑"/>
          <w:b/>
          <w:bCs/>
          <w:sz w:val="48"/>
          <w:szCs w:val="48"/>
        </w:rPr>
        <w:t>7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66C5348F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185288">
        <w:rPr>
          <w:rFonts w:ascii="微软雅黑" w:eastAsia="微软雅黑" w:hAnsi="微软雅黑" w:cs="Times New Roman"/>
          <w:b/>
          <w:kern w:val="0"/>
          <w:sz w:val="44"/>
          <w:szCs w:val="44"/>
        </w:rPr>
        <w:t>3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00331D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03D42E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B1931E2" w14:textId="2FBDD0B5" w:rsidR="00461533" w:rsidRDefault="00461533" w:rsidP="0000331D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FFC85A0" w14:textId="77777777" w:rsidR="0058393E" w:rsidRPr="00726CEC" w:rsidRDefault="0058393E" w:rsidP="0000331D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p w14:paraId="4BBF8167" w14:textId="6DE69632" w:rsidR="00BC4180" w:rsidRPr="00E23800" w:rsidRDefault="00BC4180" w:rsidP="00BC4180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第六章内分泌与代谢疾病</w:t>
      </w:r>
    </w:p>
    <w:p w14:paraId="642B7BB3" w14:textId="1D832F81" w:rsidR="00185288" w:rsidRPr="00E23800" w:rsidRDefault="00BC4180" w:rsidP="00461533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7D885201" wp14:editId="71BEFE47">
            <wp:extent cx="5054860" cy="2895749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54860" cy="289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F02A4" w14:textId="291B8D9C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第一节甲状腺功能亢进症</w:t>
      </w:r>
    </w:p>
    <w:p w14:paraId="1FF201B1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中医病因病机</w:t>
      </w:r>
    </w:p>
    <w:p w14:paraId="2237A71D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1.内因:体质因素。</w:t>
      </w:r>
    </w:p>
    <w:p w14:paraId="4C12C5C5" w14:textId="76B7DE9A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诱因: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情志失调。</w:t>
      </w:r>
    </w:p>
    <w:p w14:paraId="458195C3" w14:textId="1CF5DFA5" w:rsidR="00185288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2.病机: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气滞痰凝，气郁化火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，耗气伤阴。</w:t>
      </w:r>
    </w:p>
    <w:p w14:paraId="3636DEE9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72126396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1.临床特点旳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女性，20～40岁的中青年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多见。</w:t>
      </w:r>
    </w:p>
    <w:p w14:paraId="4683749E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2症状</w:t>
      </w:r>
    </w:p>
    <w:p w14:paraId="3C1DA671" w14:textId="51F60C78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高代谢综合征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怕热多汗，体重锐减，疲乏无力。</w:t>
      </w:r>
    </w:p>
    <w:p w14:paraId="58871D1C" w14:textId="082BDDF2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精神神经系统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躁狂，舌、手震颤，腱反射亢进。</w:t>
      </w:r>
    </w:p>
    <w:p w14:paraId="52748FC4" w14:textId="6E43523B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心血管系统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﹐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甲亢性心脏病。</w:t>
      </w:r>
    </w:p>
    <w:p w14:paraId="5CBC2ED0" w14:textId="58B0A8ED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消化系统﹐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食欲亢进，易饥，多食，腹泻。</w:t>
      </w:r>
    </w:p>
    <w:p w14:paraId="3A5CCEE2" w14:textId="1115B0CF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★(5）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肌肉骨骼系统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﹐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肌肉软弱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无力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周期性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麻痹。</w:t>
      </w:r>
    </w:p>
    <w:p w14:paraId="414F81B1" w14:textId="62FC1CB7" w:rsidR="0018528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★(6）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生殖系统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﹐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月经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减少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，闭经，男子阳痿，乳房发育</w:t>
      </w:r>
    </w:p>
    <w:p w14:paraId="7FDA8843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3.体征</w:t>
      </w:r>
    </w:p>
    <w:p w14:paraId="7DAA7A42" w14:textId="5186D4E9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(1）甲状腺肿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弥漫性（无痛性）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肿大，对称，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伴血管杂音。</w:t>
      </w:r>
    </w:p>
    <w:p w14:paraId="10212300" w14:textId="4CC9A505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(2）眼征︰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非浸润性突眼、浸润性突眼</w:t>
      </w:r>
    </w:p>
    <w:p w14:paraId="62487590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胫前黏液性水肿。</w:t>
      </w:r>
    </w:p>
    <w:p w14:paraId="473D6B33" w14:textId="1FA003C2" w:rsidR="0018528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（4）心脏﹐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早搏。</w:t>
      </w:r>
    </w:p>
    <w:p w14:paraId="0E491A8A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甲状腺危象★</w:t>
      </w:r>
    </w:p>
    <w:p w14:paraId="258BE4FC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1.高热、大汗</w:t>
      </w:r>
    </w:p>
    <w:p w14:paraId="02DC5F5F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2.心动过速（140次/分以上）</w:t>
      </w:r>
    </w:p>
    <w:p w14:paraId="5B4363BD" w14:textId="6B5DD6AD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烦躁、焦虑不安、</w:t>
      </w:r>
      <w:r w:rsidR="00A74CB7"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谵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妄</w:t>
      </w:r>
    </w:p>
    <w:p w14:paraId="43562FE7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4.恶心、呕吐、腹泻</w:t>
      </w:r>
    </w:p>
    <w:p w14:paraId="004992C2" w14:textId="7D38A6EB" w:rsidR="0018528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5.严重者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心衰、休克及昏迷。</w:t>
      </w:r>
    </w:p>
    <w:p w14:paraId="2B2897B9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4F51626E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症状: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怕热、多汗、易激动、易饥多食、消瘦、手颤、腹泻</w:t>
      </w:r>
    </w:p>
    <w:p w14:paraId="4D54B33E" w14:textId="2E6F0F5A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体征: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心动过速及眼征、甲状腺肿（弥漫性、对称性）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、甲状腺部位听到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血管杂音和触到震颤</w:t>
      </w:r>
    </w:p>
    <w:p w14:paraId="35677BB6" w14:textId="50E64EEF" w:rsidR="0018528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FT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、FT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升高（FT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&gt;FT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 xml:space="preserve">&gt;T T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&gt;TT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highlight w:val="yellow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) ，TSH减低，摄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vertAlign w:val="superscript"/>
          <w:lang w:bidi="ar"/>
        </w:rPr>
        <w:t>131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增高。</w:t>
      </w:r>
    </w:p>
    <w:p w14:paraId="187779F9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鉴别诊断</w:t>
      </w:r>
    </w:p>
    <w:p w14:paraId="3A8F1123" w14:textId="65D05356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亚急性甲状腺炎</w:t>
      </w:r>
      <w:r w:rsidR="00726CEC"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726CEC"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病毒感染，甲状腺肿大、触痛。白细胞正常或升高</w:t>
      </w:r>
    </w:p>
    <w:p w14:paraId="1D9130BA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血沉增高，TGAb（甲状腺球蛋白抗体）、TPOAb（甲状腺过氧化酶抗体）正常或轻</w:t>
      </w:r>
    </w:p>
    <w:p w14:paraId="66070E35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度升高。</w:t>
      </w:r>
    </w:p>
    <w:p w14:paraId="37B901C3" w14:textId="0419F3D2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慢性淋巴细胞性甲状腺炎</w:t>
      </w:r>
      <w:r w:rsidR="00726CEC"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中年女性，甲状腺弥漫性肿大，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峡部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明显</w:t>
      </w:r>
    </w:p>
    <w:p w14:paraId="4F856F01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质地较坚实。T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GAb（甲状腺球蛋白抗体）、TPOAb（甲状腺过氧化酶抗体）阳性</w:t>
      </w:r>
    </w:p>
    <w:p w14:paraId="4D00590C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且滴度较高。</w:t>
      </w:r>
    </w:p>
    <w:p w14:paraId="337EF93A" w14:textId="594F8233" w:rsidR="0018528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单纯性甲状腺肿</w:t>
      </w:r>
      <w:r w:rsidR="00726CEC"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="00726CEC"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甲状腺肿，无甲亢症状、T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bscript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,正常。</w:t>
      </w:r>
    </w:p>
    <w:p w14:paraId="0493C6F0" w14:textId="7F2ABCAF" w:rsidR="00461533" w:rsidRPr="00E23800" w:rsidRDefault="0046153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25958C4C" wp14:editId="753409DC">
            <wp:extent cx="4197566" cy="1797142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97566" cy="179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3B51" w14:textId="42B91187" w:rsidR="00185288" w:rsidRPr="00E23800" w:rsidRDefault="00185288" w:rsidP="00726CE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06F7B92A" wp14:editId="6496F4C6">
            <wp:extent cx="5274310" cy="278765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831C3" w14:textId="2BCA6702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第二节甲状腺功能减退症（助理不考)</w:t>
      </w:r>
    </w:p>
    <w:p w14:paraId="75D0FB32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0AA4EC7C" w14:textId="0FAC3E55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1.疲劳，怕冷，少汗，动作缓慢，食欲减退而体重增加，智力低下，反应迟钝，嗜睡，精神抑郁。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典型黏液性水肿。</w:t>
      </w:r>
    </w:p>
    <w:p w14:paraId="74110139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2.肌肉萎缩、无力。</w:t>
      </w:r>
    </w:p>
    <w:p w14:paraId="4B68E00B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3.心收缩力降低，心动过缓，心输出量下降。</w:t>
      </w:r>
    </w:p>
    <w:p w14:paraId="1167D50C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4.厌食、腹胀、便秘，麻痹性肠梗阻。</w:t>
      </w:r>
    </w:p>
    <w:p w14:paraId="5764F909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5.贫血。</w:t>
      </w:r>
    </w:p>
    <w:p w14:paraId="57B2B9A4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6.性欲减退，男性阳痿，女性月经过多或闭经、不孕。</w:t>
      </w:r>
    </w:p>
    <w:p w14:paraId="51980467" w14:textId="24ECA43D" w:rsidR="003A3698" w:rsidRPr="00E23800" w:rsidRDefault="00461533" w:rsidP="00726CE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7.黏液性水肿昏迷嗜睡，低温(&lt;35°℃)，呼吸徐缓，心动过缓，血压下降,四肢肌肉松弛，反射减弱或消失，昏迷、休克，心肾功能不全。</w:t>
      </w:r>
    </w:p>
    <w:p w14:paraId="7E6F2AF5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实验室检查</w:t>
      </w:r>
    </w:p>
    <w:p w14:paraId="09D002A7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1.甲状腺功能检查</w:t>
      </w:r>
    </w:p>
    <w:p w14:paraId="0C0267B6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TSH增高、FT4降低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是诊断原发性甲减的必备指标;TT3和FT3可在正常范围</w:t>
      </w:r>
    </w:p>
    <w:p w14:paraId="53515695" w14:textId="77777777" w:rsidR="00461533" w:rsidRPr="00E23800" w:rsidRDefault="00461533" w:rsidP="0046153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2.甲状腺自身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抗体</w:t>
      </w:r>
    </w:p>
    <w:p w14:paraId="0C5181BB" w14:textId="25D9368D" w:rsidR="003A3698" w:rsidRPr="00E23800" w:rsidRDefault="00461533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甲状腺微粒体抗体、甲状腺球蛋白抗体等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增高。</w:t>
      </w:r>
    </w:p>
    <w:p w14:paraId="73BABB0B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考点五诊断</w:t>
      </w:r>
    </w:p>
    <w:p w14:paraId="59830509" w14:textId="5B2AD37D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病史:甲状腺手术、放射治疗或抗甲状腺药物应用史，自身免疫性甲状腺炎或垂体疾患。</w:t>
      </w:r>
    </w:p>
    <w:p w14:paraId="1265169E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甲状腺功能检查:</w:t>
      </w:r>
    </w:p>
    <w:p w14:paraId="4B2177E6" w14:textId="15005281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FT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降低，TSH升高——原发性甲减（病变在甲状腺）</w:t>
      </w:r>
    </w:p>
    <w:p w14:paraId="5E019DDA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.亚临床期仅TSH升高</w:t>
      </w:r>
    </w:p>
    <w:p w14:paraId="7F11923A" w14:textId="22EFF4A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FT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降低，TSH正常——继发性甲减（病变在垂体或下丘脑）</w:t>
      </w:r>
    </w:p>
    <w:p w14:paraId="5597E0F7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TRH兴奋试验可助鉴别（测定静脉注射TRH后血清TSH浓度变化）</w:t>
      </w:r>
    </w:p>
    <w:p w14:paraId="4BD55EA7" w14:textId="3E9E54DF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(TRH:促甲状腺激素释放激素）</w:t>
      </w:r>
    </w:p>
    <w:p w14:paraId="7E9EACBF" w14:textId="7F158781" w:rsidR="003A3698" w:rsidRPr="00E23800" w:rsidRDefault="003A3698" w:rsidP="009E72C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13A3F59B" wp14:editId="6D8F177E">
            <wp:extent cx="5274310" cy="276225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D1B8A" w14:textId="33C21020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第三节亚急性甲状腺炎（助理不考)</w:t>
      </w:r>
    </w:p>
    <w:p w14:paraId="3583928D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1399F4A8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甲状腺肿大、结节、疼痛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、压痛。</w:t>
      </w:r>
    </w:p>
    <w:p w14:paraId="36F17C35" w14:textId="1144DDC4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vertAlign w:val="subscript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、T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vertAlign w:val="subscript"/>
          <w:lang w:bidi="ar"/>
        </w:rPr>
        <w:t>4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高，摄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perscript"/>
          <w:lang w:bidi="ar"/>
        </w:rPr>
        <w:t>131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I率降低，呈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特征性分离现象。</w:t>
      </w:r>
    </w:p>
    <w:p w14:paraId="7C72C117" w14:textId="5B37E9F1" w:rsidR="003A3698" w:rsidRPr="00E23800" w:rsidRDefault="003A3698" w:rsidP="009E72C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370AEFC0" wp14:editId="097CEC6B">
            <wp:extent cx="5274310" cy="281940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6A0F" w14:textId="51F5647C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第四节慢性淋巴细胞性甲状腺炎（助理不考）</w:t>
      </w:r>
    </w:p>
    <w:p w14:paraId="27A05EE3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考点一―西医病因</w:t>
      </w:r>
    </w:p>
    <w:p w14:paraId="0F77EEA8" w14:textId="593C0850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血清中存在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高滴度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甲状腺过氧化物酶抗体(TPOAb)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及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甲状腺球蛋白抗体(TgAb）。</w:t>
      </w:r>
    </w:p>
    <w:p w14:paraId="7C17C031" w14:textId="7FA06B44" w:rsidR="00074FD1" w:rsidRPr="00E23800" w:rsidRDefault="00074FD1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碘的摄入量增加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——是影响其发病的重要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环境因素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2CCABA16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考点四实验室检查及其他检查</w:t>
      </w:r>
    </w:p>
    <w:p w14:paraId="78519EA7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1.甲状腺抗体测定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TPOAb及TgAb明显增高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——最有意义。</w:t>
      </w:r>
    </w:p>
    <w:p w14:paraId="6E406380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2.早期T3、T4正常或降低，但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TSH增高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，后期T3、T4低于正常。</w:t>
      </w:r>
    </w:p>
    <w:p w14:paraId="37362900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3.甲状腺131I摄取率早期可正常或增高，但可被T3抑制，</w:t>
      </w:r>
    </w:p>
    <w:p w14:paraId="33CFB673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4.甲状腺扫描均匀弥漫性摄碘功能减低，“冷结节”或分布不均。</w:t>
      </w:r>
    </w:p>
    <w:p w14:paraId="6884BC99" w14:textId="36DAC309" w:rsidR="003A3698" w:rsidRPr="00E23800" w:rsidRDefault="00074FD1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5.甲状腺细针穿刺细胞学检查可见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浸润的淋巴细胞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——最可靠依据。</w:t>
      </w:r>
    </w:p>
    <w:p w14:paraId="264C59E5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考点五诊断</w:t>
      </w:r>
    </w:p>
    <w:p w14:paraId="5A215BC4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中年妇女</w:t>
      </w:r>
    </w:p>
    <w:p w14:paraId="4CCA432C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甲状腺过氧化物酶抗体(TPOAb)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及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甲状腺球蛋白抗体(TgAb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)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明显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增高</w:t>
      </w:r>
    </w:p>
    <w:p w14:paraId="067FC814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1.桥本甲状腺炎弥漫性对称性肿大，伴锥体叶肿大，质地坚实。</w:t>
      </w:r>
    </w:p>
    <w:p w14:paraId="1425D718" w14:textId="6F2B599D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2.萎缩性甲状腺炎甲状腺萎缩伴甲减。</w:t>
      </w:r>
    </w:p>
    <w:p w14:paraId="6F9B6AD9" w14:textId="52198ABB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38EC049F" wp14:editId="75429A73">
            <wp:extent cx="5274310" cy="278955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A04DE" w14:textId="5837C1B3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E0EE4D7" wp14:editId="5A11E523">
            <wp:extent cx="5274310" cy="2806065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965B5" w14:textId="7FCF092A" w:rsidR="0008793D" w:rsidRPr="00E23800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5D8810A" w14:textId="0279E15A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第五节糖尿病★★</w:t>
      </w:r>
    </w:p>
    <w:p w14:paraId="7E14754D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★本病可归属于:“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消渴病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”，</w:t>
      </w:r>
    </w:p>
    <w:p w14:paraId="18C6DC6D" w14:textId="39F4CFA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★并发症可归于:“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虚劳”、“胸痹”、“中风”、“雀目”、“疮痈”和“脱疽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”等范畴。</w:t>
      </w:r>
    </w:p>
    <w:p w14:paraId="663FC62A" w14:textId="534284FD" w:rsidR="0008793D" w:rsidRPr="00E23800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B57270E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中医病因病机★★★</w:t>
      </w:r>
    </w:p>
    <w:p w14:paraId="59824290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病因:★禀赋不足，★饮食失节，★情志失调，★劳欲过度，★外感热邪</w:t>
      </w:r>
    </w:p>
    <w:p w14:paraId="75407F87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病位:★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肺、胃、肾，以肾为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关键。</w:t>
      </w:r>
    </w:p>
    <w:p w14:paraId="1CEFEF0B" w14:textId="28A168E9" w:rsidR="003A3698" w:rsidRPr="00E23800" w:rsidRDefault="00074FD1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基本病机:阴津亏损、燥热偏胜;★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阴虚为本，燥热为标。</w:t>
      </w:r>
    </w:p>
    <w:p w14:paraId="73B2C4E7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1.1型糖尿病（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关键字:青少年、瘦)</w:t>
      </w:r>
    </w:p>
    <w:p w14:paraId="2C38CED3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（1）T1DM（1A型）</w:t>
      </w:r>
    </w:p>
    <w:p w14:paraId="6D9C16E5" w14:textId="2AB4F134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青少年，起病急，症状明显，典型三多一少;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糖尿病酮症酸中毒。很少肥胖胰岛β细胞自身抗体检查可以阳性。</w:t>
      </w:r>
    </w:p>
    <w:p w14:paraId="18272F2D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2.2型糖尿病﹐有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家族史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4D67770F" w14:textId="59546821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1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.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起病:常在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40岁以后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起病。发病缓慢，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症状相对较轻。</w:t>
      </w:r>
    </w:p>
    <w:p w14:paraId="1D2A6885" w14:textId="7A962331" w:rsidR="003A3698" w:rsidRPr="00E23800" w:rsidRDefault="00074FD1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.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特点:“代谢综合征”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（三高）</w:t>
      </w:r>
    </w:p>
    <w:p w14:paraId="69914786" w14:textId="77B3961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3F91EA44" wp14:editId="4869EC24">
            <wp:extent cx="5274310" cy="2486660"/>
            <wp:effectExtent l="0" t="0" r="2540" b="889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ACC9" w14:textId="3FEA4EB1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B1CBC01" w14:textId="2E96B7B3" w:rsidR="00074FD1" w:rsidRPr="00E23800" w:rsidRDefault="00074FD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67121488" wp14:editId="106C84F3">
            <wp:extent cx="5274310" cy="2333625"/>
            <wp:effectExtent l="0" t="0" r="2540" b="952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0EAE0" w14:textId="77777777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3929464" w14:textId="2C135C85" w:rsidR="003A3698" w:rsidRPr="00E23800" w:rsidRDefault="003A3698" w:rsidP="0099204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56E33FAB" wp14:editId="568B4607">
            <wp:extent cx="5274310" cy="2872740"/>
            <wp:effectExtent l="0" t="0" r="2540" b="381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27E6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实验室检查及其他检查</w:t>
      </w:r>
    </w:p>
    <w:p w14:paraId="7C196683" w14:textId="3E2FFFC2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尿糖</w:t>
      </w:r>
      <w:r w:rsidR="009E72CD"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9E72CD"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="009E72CD"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阳性不确诊，阴性不排除。</w:t>
      </w:r>
    </w:p>
    <w:p w14:paraId="757EA620" w14:textId="733D3A06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.血糖</w:t>
      </w:r>
      <w:r w:rsidR="009E72CD"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9E72CD"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诊断的主要依据</w:t>
      </w:r>
    </w:p>
    <w:p w14:paraId="16B80141" w14:textId="6C5ADE5E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.葡萄糖耐量OGTT</w:t>
      </w:r>
      <w:r w:rsidR="009E72CD"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="009E72CD"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高于正常范围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（3.9-6.1mmol/L）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未达到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（7.Ommol/L)</w:t>
      </w:r>
    </w:p>
    <w:p w14:paraId="2C14D62F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4.糖化血红蛋白:近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8～12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周血糖水平，糖尿病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控制情况的主要监测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指标。</w:t>
      </w:r>
    </w:p>
    <w:p w14:paraId="36698C10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糖化血浆白蛋白:近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2～3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周血糖水平，为糖尿病患者近期病情监测的指标。</w:t>
      </w:r>
    </w:p>
    <w:p w14:paraId="0A2F0421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(二）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胰岛B细胞功能检查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用于分型（A1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</w:t>
      </w:r>
    </w:p>
    <w:p w14:paraId="48BE0FF3" w14:textId="77777777" w:rsidR="00074FD1" w:rsidRPr="00E23800" w:rsidRDefault="00074FD1" w:rsidP="00074FD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血浆胰岛素和C-肽测定</w:t>
      </w:r>
    </w:p>
    <w:p w14:paraId="601FA028" w14:textId="7DD12385" w:rsidR="003A3698" w:rsidRPr="00E23800" w:rsidRDefault="00074FD1" w:rsidP="0099204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T,DM:胰岛素分泌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绝对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减少，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低于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正常，进餐后无增加;</w:t>
      </w:r>
    </w:p>
    <w:p w14:paraId="26C1EFE7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诊断与鉴别诊断</w:t>
      </w:r>
    </w:p>
    <w:p w14:paraId="791D2F1B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1.★空腹血糖（FPG）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≥7.0mmol/L。</w:t>
      </w:r>
    </w:p>
    <w:p w14:paraId="6363EDFB" w14:textId="5B4C90E9" w:rsidR="00FB0EB8" w:rsidRPr="00E23800" w:rsidRDefault="004E54A7" w:rsidP="00992048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2.★0GTT2小时血糖（OGTT2hPG）、或随机血糖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≥11.1mmol/L.</w:t>
      </w:r>
    </w:p>
    <w:p w14:paraId="1DCDDBA2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糖尿病教育达到目的</w:t>
      </w:r>
    </w:p>
    <w:p w14:paraId="7D6F868D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①认识自己所患糖尿病的类型及其并发症</w:t>
      </w:r>
    </w:p>
    <w:p w14:paraId="3A89D1F9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②正确掌握饮食治疗和调整食谱的基本技能</w:t>
      </w:r>
    </w:p>
    <w:p w14:paraId="544915F2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③认识控制不良的严重后果及控制的重要性</w:t>
      </w:r>
    </w:p>
    <w:p w14:paraId="12DBD29D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④能自行观察病情，自我监测血糖、血压，并能初步调整饮食和药物</w:t>
      </w:r>
    </w:p>
    <w:p w14:paraId="162B8184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⑤能自己注射胰岛素，并初步调整剂量</w:t>
      </w:r>
    </w:p>
    <w:p w14:paraId="1E146C70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⑥能识别、预防和及时处理低血糖</w:t>
      </w:r>
    </w:p>
    <w:p w14:paraId="0B108684" w14:textId="1C99A20D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⑦能主动与医护人员配合，定期复查。</w:t>
      </w:r>
    </w:p>
    <w:p w14:paraId="1B0BB031" w14:textId="41738DA6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031E3A6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提倡食用粗制米、面和一定量杂粮，严格限制或避免蔗糖、葡萄糖、蜜糖及其制品</w:t>
      </w:r>
    </w:p>
    <w:p w14:paraId="34F72156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。限制食物的脂肪量，少食动物脂肪，尽量用植物油代替。</w:t>
      </w:r>
    </w:p>
    <w:p w14:paraId="07C6A568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3.使用原则及方法①胰岛素治疗应在综合治疗基础上进行。②胰岛素剂量取决于血</w:t>
      </w:r>
    </w:p>
    <w:p w14:paraId="6AC42CFE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糖水平、B细胞功能缺陷程度、胰岛素抵抗程度、饮食和运动状况等，一般从小剂量开始</w:t>
      </w:r>
    </w:p>
    <w:p w14:paraId="02FEFE8B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，根据血糖情况逐渐调整。③力求模拟生理性胰岛素分泌模式(持续性基础分泌和进餐后</w:t>
      </w:r>
    </w:p>
    <w:p w14:paraId="0B77CE20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胰岛素分泌迅速增加)。④强化治疗后空腹血糖仍较高，其原因有黎明现象，指夜间血糖</w:t>
      </w:r>
    </w:p>
    <w:p w14:paraId="0E2B5AE0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控制良好，黎明出现血糖升高，可能与清晨皮质醇等激素分泌不平衡有关;Somogyi现象</w:t>
      </w:r>
    </w:p>
    <w:p w14:paraId="304A0527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，指夜间有低血糖未被察觉，导致体内胰岛素拮抗激素增加，继发晨起血糖升高。故夜问</w:t>
      </w:r>
    </w:p>
    <w:p w14:paraId="5D056206" w14:textId="22B48632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多次测定血糖，有助于鉴别早晨高血糖原因。</w:t>
      </w:r>
    </w:p>
    <w:p w14:paraId="7A8F424A" w14:textId="17C11AB4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62A1E57" w14:textId="0F72C81C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1AB02EB" w14:textId="2E431E8D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highlight w:val="yellow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提倡食用粗制米、面和一定量杂粮，严格限制或避免蔗糖、葡萄糖、蜜糖及其制品。限制食</w:t>
      </w:r>
    </w:p>
    <w:p w14:paraId="7F65C9F1" w14:textId="52DD50D4" w:rsidR="003A3698" w:rsidRPr="00E23800" w:rsidRDefault="004E54A7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物的脂肪量，少食动物脂肪，尽量用植物油代替。</w:t>
      </w:r>
    </w:p>
    <w:p w14:paraId="0190E51B" w14:textId="4D07E944" w:rsidR="004E54A7" w:rsidRPr="00E23800" w:rsidRDefault="004E54A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438CAA47" wp14:editId="160FF2B3">
            <wp:extent cx="5274310" cy="1647190"/>
            <wp:effectExtent l="0" t="0" r="254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43CFB" w14:textId="1FE56D91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AA726C7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6.胰岛素治疗适应证:★★★（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1.吃药无效、2.急）</w:t>
      </w:r>
    </w:p>
    <w:p w14:paraId="298793D6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①T1DM;</w:t>
      </w:r>
    </w:p>
    <w:p w14:paraId="513F2FAA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T2DM:口服药物无效，新诊断的空腹血糖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&gt;11.1mmol/L，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体重明显下降的</w:t>
      </w:r>
    </w:p>
    <w:p w14:paraId="00146C12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③急性并发症:糖尿病酮症酸中毒、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高渗高血糖综合征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和乳酸性酸中毒;</w:t>
      </w:r>
    </w:p>
    <w:p w14:paraId="2A82A3D1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④糖尿病手术、妊娠、分娩;</w:t>
      </w:r>
    </w:p>
    <w:p w14:paraId="70D34205" w14:textId="77777777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⑤严重急性或慢性并发症;</w:t>
      </w:r>
    </w:p>
    <w:p w14:paraId="7D3B4EC6" w14:textId="7398B106" w:rsidR="004E54A7" w:rsidRPr="00E23800" w:rsidRDefault="004E54A7" w:rsidP="004E54A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⑥某些特殊类型糖尿病。</w:t>
      </w:r>
    </w:p>
    <w:p w14:paraId="13892508" w14:textId="2654D7BE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992ADAA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3.使用原则及方法①胰岛素治疗应在综</w:t>
      </w:r>
    </w:p>
    <w:p w14:paraId="78DC237D" w14:textId="2360348E" w:rsidR="003A3698" w:rsidRPr="00E23800" w:rsidRDefault="00501A3B" w:rsidP="0099204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合治疗基础上进行。②胰岛素剂量取决于血糖水平、B细胞功能缺陷程度、胰岛素抵抗程度、饮食和运动状况等，一般从小剂量开始，根据血糖情况逐渐调整。③力求模拟生理性胰岛素分泌模式（持续性基础分泌和进餐后胰岛素分泌迅速增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加)。④强化治疗后空腹血糖仍较高，其原因有: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黎明现象，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指夜间血糖控制良好，黎明出现血糖升高，可能与清晨皮质醇等激素分泌不平衡有关;Somogyi现象，指夜间有低血糖未被察觉，导致体内胰岛素拮抗激素增加，继发晨起血糖升高。故夜问多次测定血糖，有助于鉴别早晨高血糖原因。</w:t>
      </w:r>
    </w:p>
    <w:p w14:paraId="30645DB5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8.并发症的治疗</w:t>
      </w:r>
    </w:p>
    <w:p w14:paraId="156BB9C1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①糖尿病酮症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酸中毒:</w:t>
      </w:r>
    </w:p>
    <w:p w14:paraId="60C1E226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补液;应用胰岛素;★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纠酸;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补钾;处理诱发病和防治并发症。</w:t>
      </w:r>
    </w:p>
    <w:p w14:paraId="090DBF1F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高渗高血糖综合征:</w:t>
      </w:r>
    </w:p>
    <w:p w14:paraId="6F69D0A4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补液;应用胰岛素;</w:t>
      </w:r>
    </w:p>
    <w:p w14:paraId="312D0B6E" w14:textId="49760F40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补钾;治疗诱发病和防治并发症。</w:t>
      </w:r>
    </w:p>
    <w:p w14:paraId="20093FF2" w14:textId="42227C35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4003C6C2" wp14:editId="0C55A22A">
            <wp:extent cx="5274310" cy="2816225"/>
            <wp:effectExtent l="0" t="0" r="2540" b="317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2B02C" w14:textId="60EC7BAB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FC39723" w14:textId="59905C2B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122CB524" wp14:editId="582DDF8C">
            <wp:extent cx="5219968" cy="1790792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19968" cy="179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AEBD" w14:textId="37F6AA8F" w:rsidR="003A3698" w:rsidRPr="00E23800" w:rsidRDefault="003A3698" w:rsidP="009E72CD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EDED6BC" w14:textId="65F98009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第六节血脂异常</w:t>
      </w:r>
    </w:p>
    <w:p w14:paraId="7D695705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要点一—西医病因</w:t>
      </w:r>
    </w:p>
    <w:p w14:paraId="1F9C3F38" w14:textId="6D2A2563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人体内血浆脂蛋白代谢可分为外源性和内源性代谢途径。外源性代谢途径是指饮食摄入的胆</w:t>
      </w:r>
    </w:p>
    <w:p w14:paraId="70476B4F" w14:textId="39C69A4D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固醇（TC）和甘油三酯（TG）在小肠中合成乳糜微粒（CM）及其代谢过程;内源性代谢途径是指由肝脏合成极低密度脂蛋白（VLDL)，然后转变为中密度脂蛋白和低密度脂蛋白（LDL)，低密度脂蛋白被肝脏或其他器官代谢的过程。此外，还有一个胆固醇逆转运途径，即高密度脂蛋白（HDL）将胆固醇从周围组织转运到肝脏进行代谢再循环。从发病方式来看，血脂异常可分为两类:原发性血脂异常和继发性血脂异常。</w:t>
      </w:r>
    </w:p>
    <w:p w14:paraId="7EECA94F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1．原发性血脂异常</w:t>
      </w:r>
    </w:p>
    <w:p w14:paraId="1C214C90" w14:textId="131A5896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其发病机制尚未明确，通常认为与脂代谢相关基因缺陷和获得性因素有关。</w:t>
      </w:r>
    </w:p>
    <w:p w14:paraId="6080DA69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(1）部分由先天性基因缺陷所致，表现为家族性高胆固醇血症。</w:t>
      </w:r>
    </w:p>
    <w:p w14:paraId="4A47E61B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(2）获得性因素:高脂肪、高胆固醇、高脂</w:t>
      </w:r>
    </w:p>
    <w:p w14:paraId="43536C3B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肪酸饮食;体重增加;增龄;不良的生活习惯</w:t>
      </w:r>
    </w:p>
    <w:p w14:paraId="726BE5C7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(高糖膳食、吸烟等)。</w:t>
      </w:r>
    </w:p>
    <w:p w14:paraId="305AF509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lastRenderedPageBreak/>
        <w:t>2.继发性血脂异常</w:t>
      </w:r>
    </w:p>
    <w:p w14:paraId="728FF96E" w14:textId="27C785D9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由于某些全身性疾病或药物所引起的血浆TC或TG升高，伴或不伴血浆高密度脂蛋白-胆</w:t>
      </w:r>
    </w:p>
    <w:p w14:paraId="1860E1BB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固醇（HDL-C)浓度降低。</w:t>
      </w:r>
    </w:p>
    <w:p w14:paraId="0FAD933F" w14:textId="2C66A269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(1）全身系统性疾病:糖尿病、甲状腺功能减退、肾病。肝胆系统疾病如胆道结石、胆汁性</w:t>
      </w:r>
    </w:p>
    <w:p w14:paraId="10F6A18B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肝硬化等。</w:t>
      </w:r>
    </w:p>
    <w:p w14:paraId="79191187" w14:textId="7871620B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(2）药物:如糖皮质激素、噻嗪类利尿剂、β受体阻滞剂等。</w:t>
      </w:r>
    </w:p>
    <w:p w14:paraId="3EF9E510" w14:textId="4FC0F152" w:rsidR="003A3698" w:rsidRPr="00E23800" w:rsidRDefault="00501A3B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3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）雌激素缺乏等。</w:t>
      </w:r>
    </w:p>
    <w:p w14:paraId="1CCC201B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5DF85F35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1.病史家族史。糖尿病、肾病、肝胆系统疾病史或不良饮食习惯。</w:t>
      </w:r>
    </w:p>
    <w:p w14:paraId="1260D84D" w14:textId="451951D9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2.体征①形体肥胖。②出现黄斑瘤、腱黄瘤、皮下结节状黄色瘤。③高脂血症性眼底病变、角膜环。</w:t>
      </w:r>
    </w:p>
    <w:p w14:paraId="2856CFD3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3.辅助检查</w:t>
      </w:r>
    </w:p>
    <w:p w14:paraId="256FA0EE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1.血脂血清TC或TG水平增高。</w:t>
      </w:r>
    </w:p>
    <w:p w14:paraId="467D84AE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（1）血清胆固醇旳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TC≥6.2mmol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个为升高。</w:t>
      </w:r>
    </w:p>
    <w:p w14:paraId="5857E638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(2）甘油三酯―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TG≥2.3mmol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/个为升高。</w:t>
      </w:r>
    </w:p>
    <w:p w14:paraId="3F27D879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2.脂蛋白LDL-C水平升高，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HDL-C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水平降低。</w:t>
      </w:r>
    </w:p>
    <w:p w14:paraId="76A86389" w14:textId="77777777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（1）低密度脂蛋白-胆固醇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LDL-C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≥4.Immol/个L——升高。</w:t>
      </w:r>
    </w:p>
    <w:p w14:paraId="2CA08BAA" w14:textId="34FF66D9" w:rsidR="00501A3B" w:rsidRPr="00E23800" w:rsidRDefault="00501A3B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(2）高密度脂蛋白-胆固醇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HDL-C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&lt;1.Ommol个L——降低。</w:t>
      </w:r>
    </w:p>
    <w:p w14:paraId="016CB1C2" w14:textId="6BAF760F" w:rsidR="003A3698" w:rsidRPr="00E23800" w:rsidRDefault="003A3698" w:rsidP="009E72CD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5E1C711" w14:textId="1DD58AA2" w:rsidR="00501A3B" w:rsidRPr="00E23800" w:rsidRDefault="00501A3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4341908" wp14:editId="0F4D55DC">
            <wp:extent cx="5274310" cy="2451100"/>
            <wp:effectExtent l="0" t="0" r="2540" b="635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D9B31" w14:textId="6A084743" w:rsidR="00FB0EB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7CE863AC" wp14:editId="57FB9822">
            <wp:extent cx="5274310" cy="2593340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2B94B" w14:textId="58A922F8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85A390E" w14:textId="35019AEA" w:rsidR="00501A3B" w:rsidRPr="00E23800" w:rsidRDefault="009E72CD" w:rsidP="00501A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第七节水、电解质代谢和酸碱平衡（助理不考）</w:t>
      </w:r>
    </w:p>
    <w:p w14:paraId="1EB491D9" w14:textId="6B272AFD" w:rsidR="003A3698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2A9FF312" wp14:editId="553CD16E">
            <wp:extent cx="5150115" cy="1079555"/>
            <wp:effectExtent l="0" t="0" r="0" b="635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107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D668A" w14:textId="43B1A06C" w:rsidR="003A3698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44DFED3" wp14:editId="6D86B01A">
            <wp:extent cx="5274310" cy="2242185"/>
            <wp:effectExtent l="0" t="0" r="2540" b="571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96DBC" w14:textId="1D90CDD9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钾代谢失常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正常血钾浓度为3.5～5.5mmol/L。</w:t>
      </w:r>
    </w:p>
    <w:p w14:paraId="3223F366" w14:textId="7C02892D" w:rsidR="003A3698" w:rsidRPr="00E23800" w:rsidRDefault="003A3698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31A081F" w14:textId="627A50A9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第八节高尿酸血症与痛风</w:t>
      </w:r>
    </w:p>
    <w:p w14:paraId="588E9B48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临床表现:</w:t>
      </w:r>
    </w:p>
    <w:p w14:paraId="71E7F3E4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40～50岁高峰，男性&gt;女性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拇指和第一跖趾关节（首发）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最易受累</w:t>
      </w:r>
    </w:p>
    <w:p w14:paraId="6A8470C1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高尿酸血症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，特征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性急、慢性关节炎反复发作，痛风石，间质性肾炎</w:t>
      </w:r>
    </w:p>
    <w:p w14:paraId="75E690EC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尿酸性尿路结石</w:t>
      </w:r>
    </w:p>
    <w:p w14:paraId="2952B4C2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高尿酸血症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:血液中尿酸&gt;420 u mol/L（绝经前&gt;350 u mol/L)</w:t>
      </w:r>
    </w:p>
    <w:p w14:paraId="64ED363D" w14:textId="77777777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正常值:男150-380 u molL，女100-300 umol/L</w:t>
      </w:r>
    </w:p>
    <w:p w14:paraId="097552BE" w14:textId="622B7785" w:rsidR="009E72CD" w:rsidRPr="00E23800" w:rsidRDefault="009E72CD" w:rsidP="009E72CD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秋水仙碱—一—特效药。</w:t>
      </w:r>
    </w:p>
    <w:p w14:paraId="4AB02D7D" w14:textId="77777777" w:rsidR="009E72CD" w:rsidRPr="00E23800" w:rsidRDefault="009E72C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0A29932" w14:textId="69BA1FC0" w:rsidR="003A3698" w:rsidRPr="00E23800" w:rsidRDefault="003A369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460F818" wp14:editId="7A1A4552">
            <wp:extent cx="5274310" cy="2382520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B14B" w14:textId="7D0C0CA0" w:rsidR="00FB0EB8" w:rsidRPr="00E23800" w:rsidRDefault="00FB0EB8" w:rsidP="00C64547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983ACE5" w14:textId="2BBD4836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第七单元风湿性疾病</w:t>
      </w:r>
    </w:p>
    <w:p w14:paraId="49406ACA" w14:textId="1DFCF6EF" w:rsidR="00992048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24B9DC79" wp14:editId="094BCDF3">
            <wp:extent cx="3029106" cy="806491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29106" cy="80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61216" w14:textId="55312A73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第一节类风湿关节炎</w:t>
      </w:r>
    </w:p>
    <w:p w14:paraId="5A365BF6" w14:textId="4AD8ACE4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“痹症”、“痛痹”“痛风”“历节”“历节病”“白虎历节病”</w:t>
      </w:r>
    </w:p>
    <w:p w14:paraId="20B62F0A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（二）病理</w:t>
      </w:r>
    </w:p>
    <w:p w14:paraId="083759E5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基本病理改变: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滑膜炎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4E804FB3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中医病因病机</w:t>
      </w:r>
    </w:p>
    <w:p w14:paraId="756D8F93" w14:textId="2DCE2FAE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病位在关节、经络，与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肝肾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有关。</w:t>
      </w:r>
    </w:p>
    <w:p w14:paraId="5A07E8F9" w14:textId="5D448DC6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29FFD0C1" wp14:editId="55F83E33">
            <wp:extent cx="2228965" cy="1479626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28965" cy="147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23359" w14:textId="6BE42424" w:rsidR="00901410" w:rsidRPr="00E23800" w:rsidRDefault="00992048" w:rsidP="00C64547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CC036E0" wp14:editId="398F2B76">
            <wp:extent cx="5274310" cy="280098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C797" w14:textId="67A87D52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3.自身抗体检测自身抗体有利于RA与其他炎性关节炎如银屑病关节炎、反应性关节炎和退行性关节炎的鉴别。</w:t>
      </w:r>
    </w:p>
    <w:p w14:paraId="416A77F3" w14:textId="3EC2EC55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(1）类风湿因子（RF)70%患者IgM型RF阳性，其滴度一般与本病的活动性和严重性呈比例。</w:t>
      </w:r>
    </w:p>
    <w:p w14:paraId="5CB1721D" w14:textId="71A26EDC" w:rsidR="00901410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抗瓜氨酸化蛋白抗体(ACPA)是一类针对含有瓜氨酸化表位自身抗原的抗体统称，包括抗核周因子(APF)、抗角蛋白抗体(AKA)、抗聚角蛋白徵丝蛋白抗体（AFA)、抗环瓜氨酸肽抗体（抗CCP）等。其中抗CCP抗体敏感性和特异性较高，对早期诊断有一定意义，尤其是血清RF阴性、临床症状不典型的患者。</w:t>
      </w:r>
    </w:p>
    <w:p w14:paraId="5E15E57F" w14:textId="24B2E5DA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诊断: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一僵二对三肿胀，拍片阳性有结节，具备四点六周上。</w:t>
      </w:r>
    </w:p>
    <w:p w14:paraId="091227A9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①晨僵1小时（≥6周）﹔</w:t>
      </w:r>
    </w:p>
    <w:p w14:paraId="18882ECD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3个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或以上关节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肿胀（腕关节、掌指关节、近端指间关节）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（≥6周）</w:t>
      </w:r>
    </w:p>
    <w:p w14:paraId="3B782EFD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④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对称性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关节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肿胀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（≥6周）;</w:t>
      </w:r>
    </w:p>
    <w:p w14:paraId="0CAF6273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⑤类风湿皮下结节;</w:t>
      </w:r>
    </w:p>
    <w:p w14:paraId="3F6094A4" w14:textId="23566858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⑥x线片关节端骨质疏松和关节间隙狭窄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早期发现、判断疗效;</w:t>
      </w:r>
    </w:p>
    <w:p w14:paraId="773340A0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⑦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类风湿因子（RF）阳性</w:t>
      </w:r>
    </w:p>
    <w:p w14:paraId="04432D4B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西医治疗</w:t>
      </w:r>
    </w:p>
    <w:p w14:paraId="2CAC4E94" w14:textId="202D50C4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甲氨蝶呤——首选。</w:t>
      </w:r>
    </w:p>
    <w:p w14:paraId="07A044DA" w14:textId="2A5A07C2" w:rsidR="00901410" w:rsidRPr="00E23800" w:rsidRDefault="00901410" w:rsidP="00C64547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13B30989" wp14:editId="6B49A7F3">
            <wp:extent cx="5274310" cy="2869565"/>
            <wp:effectExtent l="0" t="0" r="254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26B69" w14:textId="73D4074F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第二节系统性红斑狼疮</w:t>
      </w:r>
    </w:p>
    <w:p w14:paraId="1E7A43BF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“蝶疮流注”</w:t>
      </w:r>
    </w:p>
    <w:p w14:paraId="5385A7B0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497EF8B5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⒉.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鼻梁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双颧颊部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呈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蝶形分布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的红斑——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特征性改变</w:t>
      </w:r>
    </w:p>
    <w:p w14:paraId="27181591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3.对称性多关节疼痛肿胀，不引起骨质破坏。</w:t>
      </w:r>
    </w:p>
    <w:p w14:paraId="62001F09" w14:textId="2444D053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4.肾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狼疮肾炎—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最常见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和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严重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的临床表现</w:t>
      </w:r>
    </w:p>
    <w:p w14:paraId="5A202CFE" w14:textId="32578614" w:rsidR="00901410" w:rsidRPr="00E23800" w:rsidRDefault="00C64547" w:rsidP="00C64547">
      <w:pPr>
        <w:widowControl/>
        <w:ind w:firstLineChars="400" w:firstLine="960"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肾衰竭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死亡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的常见原因。</w:t>
      </w:r>
    </w:p>
    <w:p w14:paraId="2AA7E164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实验室检查</w:t>
      </w:r>
    </w:p>
    <w:p w14:paraId="057E72E1" w14:textId="68F2FEF9" w:rsidR="00C64547" w:rsidRPr="00E23800" w:rsidRDefault="00C64547" w:rsidP="00C64547">
      <w:pPr>
        <w:pStyle w:val="a6"/>
        <w:widowControl/>
        <w:numPr>
          <w:ilvl w:val="0"/>
          <w:numId w:val="3"/>
        </w:numPr>
        <w:ind w:firstLineChars="0"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抗核抗体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（ANA）敏感性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95%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，特异性差;</w:t>
      </w:r>
    </w:p>
    <w:p w14:paraId="5F09C208" w14:textId="781A2822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抗双链DNA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（ds-DNA）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抗体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特异性95%，敏感性70%</w:t>
      </w:r>
    </w:p>
    <w:p w14:paraId="146591C3" w14:textId="7024834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抗Sm抗体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特异性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99%</w:t>
      </w: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，敏感性低。</w:t>
      </w:r>
    </w:p>
    <w:p w14:paraId="1795AC0D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63F629C4" w14:textId="77777777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轻型——小剂量</w:t>
      </w:r>
      <w:r w:rsidRPr="00E238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糖皮质激素</w:t>
      </w:r>
    </w:p>
    <w:p w14:paraId="22F13334" w14:textId="75AD2322" w:rsidR="00C64547" w:rsidRPr="00E23800" w:rsidRDefault="00C64547" w:rsidP="00C64547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E238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狼疮危象——大剂量甲泼尼龙</w:t>
      </w:r>
    </w:p>
    <w:p w14:paraId="09086CCB" w14:textId="0A96650D" w:rsidR="00901410" w:rsidRPr="00E2380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E238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7C1D5394" wp14:editId="47EA8252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F4E5B" w14:textId="5F98F590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156AF01" w14:textId="09B86487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D0007D6" w14:textId="5B331608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3951C51" w14:textId="7885425F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ADDE4F9" w14:textId="1BFE7099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3DE70DD" w14:textId="70150FF4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7563674" w14:textId="19378DC4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FA1E1A0" w14:textId="4DFB76D5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AAC98C2" w14:textId="44B17364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0464A80" w14:textId="1C1F02EF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D9239C4" w14:textId="2309DDDF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199646D" w14:textId="64F232A2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92FE930" w14:textId="359F04BF" w:rsidR="00901410" w:rsidRDefault="0090141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085E104" w14:textId="1B1610D3" w:rsidR="0058393E" w:rsidRDefault="0058393E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890353C" w14:textId="19DAE0CE" w:rsidR="0058393E" w:rsidRDefault="0058393E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 wp14:anchorId="7CEEF634" wp14:editId="1772968C">
            <wp:extent cx="4724400" cy="8350250"/>
            <wp:effectExtent l="0" t="0" r="0" b="0"/>
            <wp:docPr id="33" name="图形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835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758D7" w14:textId="0617F286" w:rsidR="00901410" w:rsidRPr="00726CEC" w:rsidRDefault="00901410" w:rsidP="00E23800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sectPr w:rsidR="00901410" w:rsidRPr="00726CEC">
      <w:headerReference w:type="default" r:id="rId35"/>
      <w:footerReference w:type="default" r:id="rId3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6265BD" w14:textId="77777777" w:rsidR="00173D38" w:rsidRDefault="00173D38">
      <w:r>
        <w:separator/>
      </w:r>
    </w:p>
  </w:endnote>
  <w:endnote w:type="continuationSeparator" w:id="0">
    <w:p w14:paraId="5A9C9910" w14:textId="77777777" w:rsidR="00173D38" w:rsidRDefault="00173D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B4AEBD" w14:textId="77777777" w:rsidR="00173D38" w:rsidRDefault="00173D38">
      <w:r>
        <w:separator/>
      </w:r>
    </w:p>
  </w:footnote>
  <w:footnote w:type="continuationSeparator" w:id="0">
    <w:p w14:paraId="1B5972DC" w14:textId="77777777" w:rsidR="00173D38" w:rsidRDefault="00173D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173D38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944E5E"/>
    <w:multiLevelType w:val="hybridMultilevel"/>
    <w:tmpl w:val="C8CE0456"/>
    <w:lvl w:ilvl="0" w:tplc="AF9A4934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E903F2F"/>
    <w:multiLevelType w:val="hybridMultilevel"/>
    <w:tmpl w:val="20BAE522"/>
    <w:lvl w:ilvl="0" w:tplc="3F6C6F66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D2B3D77"/>
    <w:multiLevelType w:val="hybridMultilevel"/>
    <w:tmpl w:val="5C861916"/>
    <w:lvl w:ilvl="0" w:tplc="706EAE62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0331D"/>
    <w:rsid w:val="000234AB"/>
    <w:rsid w:val="00026C26"/>
    <w:rsid w:val="0004202A"/>
    <w:rsid w:val="00071775"/>
    <w:rsid w:val="00073C5F"/>
    <w:rsid w:val="00074FD1"/>
    <w:rsid w:val="000776A4"/>
    <w:rsid w:val="0008793D"/>
    <w:rsid w:val="000A5D69"/>
    <w:rsid w:val="000B09B5"/>
    <w:rsid w:val="000C4189"/>
    <w:rsid w:val="0015513B"/>
    <w:rsid w:val="001553B5"/>
    <w:rsid w:val="00156DFF"/>
    <w:rsid w:val="00173D38"/>
    <w:rsid w:val="0017595B"/>
    <w:rsid w:val="00185288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776F4"/>
    <w:rsid w:val="00394F2F"/>
    <w:rsid w:val="003A3698"/>
    <w:rsid w:val="003D5EDA"/>
    <w:rsid w:val="003F6265"/>
    <w:rsid w:val="00417886"/>
    <w:rsid w:val="00423EC5"/>
    <w:rsid w:val="00443B68"/>
    <w:rsid w:val="00461533"/>
    <w:rsid w:val="0049524B"/>
    <w:rsid w:val="004E54A7"/>
    <w:rsid w:val="00501A3B"/>
    <w:rsid w:val="00513986"/>
    <w:rsid w:val="005317E0"/>
    <w:rsid w:val="00537B43"/>
    <w:rsid w:val="005519B0"/>
    <w:rsid w:val="005747AC"/>
    <w:rsid w:val="0058393E"/>
    <w:rsid w:val="005A3D08"/>
    <w:rsid w:val="005F7AAD"/>
    <w:rsid w:val="00661A99"/>
    <w:rsid w:val="00670D25"/>
    <w:rsid w:val="006903E7"/>
    <w:rsid w:val="006E40FF"/>
    <w:rsid w:val="006E4611"/>
    <w:rsid w:val="00726CEC"/>
    <w:rsid w:val="0077570B"/>
    <w:rsid w:val="00776E9C"/>
    <w:rsid w:val="007A1E5C"/>
    <w:rsid w:val="007D47AA"/>
    <w:rsid w:val="007E28CE"/>
    <w:rsid w:val="007E78AA"/>
    <w:rsid w:val="0082660B"/>
    <w:rsid w:val="00836520"/>
    <w:rsid w:val="008946FC"/>
    <w:rsid w:val="008B2817"/>
    <w:rsid w:val="008E3B07"/>
    <w:rsid w:val="00901410"/>
    <w:rsid w:val="00903CB9"/>
    <w:rsid w:val="0093310B"/>
    <w:rsid w:val="00992048"/>
    <w:rsid w:val="00992748"/>
    <w:rsid w:val="00997F72"/>
    <w:rsid w:val="009C0F52"/>
    <w:rsid w:val="009D5E91"/>
    <w:rsid w:val="009E72CD"/>
    <w:rsid w:val="00A21E12"/>
    <w:rsid w:val="00A74CB7"/>
    <w:rsid w:val="00A81966"/>
    <w:rsid w:val="00B25974"/>
    <w:rsid w:val="00B461D1"/>
    <w:rsid w:val="00B60A88"/>
    <w:rsid w:val="00B97678"/>
    <w:rsid w:val="00BC07E6"/>
    <w:rsid w:val="00BC4180"/>
    <w:rsid w:val="00BD4E1E"/>
    <w:rsid w:val="00C456AF"/>
    <w:rsid w:val="00C64547"/>
    <w:rsid w:val="00D761CA"/>
    <w:rsid w:val="00D976CE"/>
    <w:rsid w:val="00DA5511"/>
    <w:rsid w:val="00DF0A44"/>
    <w:rsid w:val="00E16C35"/>
    <w:rsid w:val="00E21137"/>
    <w:rsid w:val="00E23800"/>
    <w:rsid w:val="00EA203D"/>
    <w:rsid w:val="00EA6F0F"/>
    <w:rsid w:val="00EC64CB"/>
    <w:rsid w:val="00F1300A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paragraph" w:styleId="a6">
    <w:name w:val="List Paragraph"/>
    <w:basedOn w:val="a"/>
    <w:uiPriority w:val="99"/>
    <w:rsid w:val="0099274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1</Pages>
  <Words>771</Words>
  <Characters>4396</Characters>
  <Application>Microsoft Office Word</Application>
  <DocSecurity>0</DocSecurity>
  <Lines>36</Lines>
  <Paragraphs>10</Paragraphs>
  <ScaleCrop>false</ScaleCrop>
  <Company>微软中国</Company>
  <LinksUpToDate>false</LinksUpToDate>
  <CharactersWithSpaces>5157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58</cp:revision>
  <cp:lastPrinted>2021-03-03T06:00:00Z</cp:lastPrinted>
  <dcterms:created xsi:type="dcterms:W3CDTF">2014-10-29T12:08:00Z</dcterms:created>
  <dcterms:modified xsi:type="dcterms:W3CDTF">2021-03-03T06:00:00Z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